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ABB" w:rsidRPr="008E671A" w:rsidRDefault="006100CE" w:rsidP="008E671A">
      <w:pPr>
        <w:pStyle w:val="En-tte"/>
        <w:spacing w:before="120"/>
        <w:rPr>
          <w:rFonts w:ascii="Cambria" w:hAnsi="Cambria" w:cs="Calibri"/>
          <w:b/>
          <w:bCs/>
        </w:rPr>
      </w:pPr>
      <w:r w:rsidRPr="006100CE">
        <w:rPr>
          <w:rFonts w:ascii="Andalus" w:hAnsi="Andalus" w:cs="Andalus"/>
          <w:b/>
          <w:bCs/>
        </w:rPr>
        <w:t>Profess</w:t>
      </w:r>
      <w:r w:rsidR="007952F6" w:rsidRPr="006100CE">
        <w:rPr>
          <w:rFonts w:ascii="Andalus" w:hAnsi="Andalus" w:cs="Andalus"/>
          <w:b/>
          <w:bCs/>
        </w:rPr>
        <w:t xml:space="preserve">eur: </w:t>
      </w:r>
      <w:r w:rsidR="007952F6" w:rsidRPr="006100CE">
        <w:rPr>
          <w:rFonts w:ascii="Andalus" w:hAnsi="Andalus" w:cs="Andalus"/>
        </w:rPr>
        <w:t>EL AISSAOUY Mohammed</w:t>
      </w:r>
      <w:r w:rsidR="007952F6" w:rsidRPr="006100CE">
        <w:rPr>
          <w:rFonts w:ascii="Cambria" w:hAnsi="Cambria" w:cs="Calibri"/>
        </w:rPr>
        <w:t xml:space="preserve">                                                                    </w:t>
      </w:r>
      <w:r w:rsidR="001C63F2" w:rsidRPr="006100CE">
        <w:rPr>
          <w:rFonts w:ascii="Cambria" w:hAnsi="Cambria" w:cs="Calibri"/>
        </w:rPr>
        <w:t xml:space="preserve">         </w:t>
      </w:r>
      <w:r>
        <w:rPr>
          <w:rFonts w:ascii="Cambria" w:hAnsi="Cambria" w:cs="Calibri"/>
          <w:b/>
          <w:bCs/>
        </w:rPr>
        <w:t xml:space="preserve">            </w:t>
      </w:r>
      <w:r w:rsidR="001C63F2" w:rsidRPr="006100CE">
        <w:rPr>
          <w:rFonts w:ascii="Cambria" w:hAnsi="Cambria" w:cs="Calibri"/>
          <w:b/>
          <w:bCs/>
        </w:rPr>
        <w:t xml:space="preserve">              </w:t>
      </w:r>
      <w:r w:rsidR="007952F6" w:rsidRPr="006100CE">
        <w:rPr>
          <w:rFonts w:ascii="Cambria" w:hAnsi="Cambria" w:cs="Calibri"/>
          <w:b/>
          <w:bCs/>
        </w:rPr>
        <w:t xml:space="preserve">                           </w:t>
      </w:r>
    </w:p>
    <w:p w:rsidR="007952F6" w:rsidRPr="00380323" w:rsidRDefault="001D6C77" w:rsidP="008E671A">
      <w:pPr>
        <w:pStyle w:val="En-tte"/>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51"/>
        <w:gridCol w:w="1418"/>
        <w:gridCol w:w="2268"/>
        <w:gridCol w:w="2268"/>
        <w:gridCol w:w="1275"/>
        <w:gridCol w:w="1276"/>
        <w:gridCol w:w="1134"/>
        <w:gridCol w:w="567"/>
        <w:gridCol w:w="1559"/>
        <w:gridCol w:w="2268"/>
      </w:tblGrid>
      <w:tr w:rsidR="00AB3876" w:rsidRPr="006266E2" w:rsidTr="009C3EA7">
        <w:trPr>
          <w:trHeight w:val="330"/>
        </w:trPr>
        <w:tc>
          <w:tcPr>
            <w:tcW w:w="3369"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 xml:space="preserve">Famille </w:t>
            </w:r>
          </w:p>
        </w:tc>
        <w:tc>
          <w:tcPr>
            <w:tcW w:w="2268" w:type="dxa"/>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AB3876" w:rsidRPr="009432E0" w:rsidRDefault="00AB3876" w:rsidP="00AB3876">
            <w:pPr>
              <w:jc w:val="center"/>
              <w:rPr>
                <w:rFonts w:ascii="Andalus" w:hAnsi="Andalus" w:cs="Andalus"/>
                <w:b/>
                <w:szCs w:val="22"/>
              </w:rPr>
            </w:pPr>
            <w:r w:rsidRPr="009432E0">
              <w:rPr>
                <w:rFonts w:ascii="Andalus" w:hAnsi="Andalus" w:cs="Andalus"/>
                <w:b/>
                <w:szCs w:val="22"/>
              </w:rPr>
              <w:t>Niveau scolaire</w:t>
            </w:r>
          </w:p>
        </w:tc>
        <w:tc>
          <w:tcPr>
            <w:tcW w:w="1701"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 xml:space="preserve">Séance </w:t>
            </w:r>
          </w:p>
        </w:tc>
        <w:tc>
          <w:tcPr>
            <w:tcW w:w="3827" w:type="dxa"/>
            <w:gridSpan w:val="2"/>
            <w:shd w:val="clear" w:color="auto" w:fill="90F6F8"/>
          </w:tcPr>
          <w:p w:rsidR="00AB3876" w:rsidRPr="00185428" w:rsidRDefault="00AB3876" w:rsidP="00AB3876">
            <w:pPr>
              <w:jc w:val="center"/>
              <w:rPr>
                <w:rFonts w:ascii="Andalus" w:hAnsi="Andalus" w:cs="Andalus"/>
                <w:b/>
              </w:rPr>
            </w:pPr>
            <w:r w:rsidRPr="00185428">
              <w:rPr>
                <w:rFonts w:ascii="Andalus" w:hAnsi="Andalus" w:cs="Andalus"/>
                <w:b/>
              </w:rPr>
              <w:t>Matériel</w:t>
            </w:r>
          </w:p>
        </w:tc>
      </w:tr>
      <w:tr w:rsidR="00AB3876" w:rsidRPr="006266E2" w:rsidTr="009C3EA7">
        <w:trPr>
          <w:trHeight w:val="50"/>
        </w:trPr>
        <w:tc>
          <w:tcPr>
            <w:tcW w:w="3369" w:type="dxa"/>
            <w:gridSpan w:val="2"/>
          </w:tcPr>
          <w:p w:rsidR="00AB3876" w:rsidRPr="00D37F4D" w:rsidRDefault="00AB3876" w:rsidP="00AB3876">
            <w:pPr>
              <w:jc w:val="center"/>
              <w:rPr>
                <w:rFonts w:ascii="Andalus" w:hAnsi="Andalus" w:cs="Andalus"/>
              </w:rPr>
            </w:pPr>
            <w:r w:rsidRPr="00D37F4D">
              <w:rPr>
                <w:rFonts w:ascii="Andalus" w:hAnsi="Andalus" w:cs="Andalus"/>
              </w:rPr>
              <w:t>Gestion de l’effort physique</w:t>
            </w:r>
          </w:p>
        </w:tc>
        <w:tc>
          <w:tcPr>
            <w:tcW w:w="2268" w:type="dxa"/>
          </w:tcPr>
          <w:p w:rsidR="00AB3876" w:rsidRPr="006118D1" w:rsidRDefault="00AB3876" w:rsidP="00AB3876">
            <w:pPr>
              <w:autoSpaceDE w:val="0"/>
              <w:autoSpaceDN w:val="0"/>
              <w:adjustRightInd w:val="0"/>
              <w:jc w:val="center"/>
              <w:rPr>
                <w:rFonts w:ascii="Andalus" w:hAnsi="Andalus" w:cs="Andalus"/>
              </w:rPr>
            </w:pPr>
            <w:r>
              <w:rPr>
                <w:rFonts w:ascii="Andalus" w:hAnsi="Andalus" w:cs="Andalus"/>
              </w:rPr>
              <w:t xml:space="preserve">Sports de Renvoi </w:t>
            </w:r>
          </w:p>
        </w:tc>
        <w:tc>
          <w:tcPr>
            <w:tcW w:w="2268" w:type="dxa"/>
          </w:tcPr>
          <w:p w:rsidR="00AB3876" w:rsidRPr="006118D1" w:rsidRDefault="00AB3876" w:rsidP="00AB3876">
            <w:pPr>
              <w:jc w:val="center"/>
              <w:rPr>
                <w:rFonts w:ascii="Andalus" w:hAnsi="Andalus" w:cs="Andalus"/>
              </w:rPr>
            </w:pPr>
            <w:r>
              <w:rPr>
                <w:rFonts w:ascii="Andalus" w:hAnsi="Andalus" w:cs="Andalus"/>
              </w:rPr>
              <w:t>Volley-ball</w:t>
            </w:r>
          </w:p>
        </w:tc>
        <w:tc>
          <w:tcPr>
            <w:tcW w:w="2551" w:type="dxa"/>
            <w:gridSpan w:val="2"/>
          </w:tcPr>
          <w:p w:rsidR="00AB3876" w:rsidRPr="006118D1" w:rsidRDefault="00AB3876" w:rsidP="00AB3876">
            <w:pPr>
              <w:jc w:val="center"/>
              <w:rPr>
                <w:rFonts w:ascii="Andalus" w:hAnsi="Andalus" w:cs="Andalus"/>
              </w:rPr>
            </w:pPr>
            <w:r w:rsidRPr="006118D1">
              <w:rPr>
                <w:rFonts w:ascii="Andalus" w:hAnsi="Andalus" w:cs="Andalus"/>
              </w:rPr>
              <w:t>Tronc Commun</w:t>
            </w:r>
          </w:p>
        </w:tc>
        <w:tc>
          <w:tcPr>
            <w:tcW w:w="1701" w:type="dxa"/>
            <w:gridSpan w:val="2"/>
          </w:tcPr>
          <w:p w:rsidR="00AB3876" w:rsidRPr="006118D1" w:rsidRDefault="00D3746F" w:rsidP="008E4987">
            <w:pPr>
              <w:jc w:val="center"/>
              <w:rPr>
                <w:rFonts w:ascii="Andalus" w:hAnsi="Andalus" w:cs="Andalus"/>
              </w:rPr>
            </w:pPr>
            <w:r>
              <w:rPr>
                <w:rFonts w:ascii="Andalus" w:hAnsi="Andalus" w:cs="Andalus"/>
              </w:rPr>
              <w:t>0</w:t>
            </w:r>
            <w:r w:rsidR="008E4987">
              <w:rPr>
                <w:rFonts w:ascii="Andalus" w:hAnsi="Andalus" w:cs="Andalus"/>
              </w:rPr>
              <w:t>5</w:t>
            </w:r>
          </w:p>
        </w:tc>
        <w:tc>
          <w:tcPr>
            <w:tcW w:w="3827" w:type="dxa"/>
            <w:gridSpan w:val="2"/>
          </w:tcPr>
          <w:p w:rsidR="00AB3876" w:rsidRPr="008E671A" w:rsidRDefault="00AB3876" w:rsidP="00BD3DDA">
            <w:pPr>
              <w:jc w:val="center"/>
              <w:rPr>
                <w:rFonts w:ascii="Andalus" w:hAnsi="Andalus" w:cs="Andalus"/>
              </w:rPr>
            </w:pPr>
            <w:r w:rsidRPr="008E671A">
              <w:rPr>
                <w:rFonts w:ascii="Andalus" w:hAnsi="Andalus" w:cs="Andalus"/>
              </w:rPr>
              <w:t xml:space="preserve">Ballons, Sifflet, </w:t>
            </w:r>
            <w:r>
              <w:rPr>
                <w:rFonts w:ascii="Andalus" w:hAnsi="Andalus" w:cs="Andalus"/>
              </w:rPr>
              <w:t xml:space="preserve">dossards, </w:t>
            </w:r>
            <w:r w:rsidR="00BD3DDA">
              <w:rPr>
                <w:rFonts w:ascii="Andalus" w:hAnsi="Andalus" w:cs="Andalus"/>
              </w:rPr>
              <w:t>cônes</w:t>
            </w:r>
            <w:r w:rsidRPr="008E671A">
              <w:rPr>
                <w:rFonts w:ascii="Andalus" w:hAnsi="Andalus" w:cs="Andalus"/>
              </w:rPr>
              <w:t>.</w:t>
            </w:r>
          </w:p>
        </w:tc>
      </w:tr>
      <w:tr w:rsidR="00AB3876" w:rsidRPr="006266E2" w:rsidTr="009C3EA7">
        <w:trPr>
          <w:trHeight w:val="390"/>
        </w:trPr>
        <w:tc>
          <w:tcPr>
            <w:tcW w:w="3369" w:type="dxa"/>
            <w:gridSpan w:val="2"/>
            <w:shd w:val="clear" w:color="auto" w:fill="90F6F8"/>
          </w:tcPr>
          <w:p w:rsidR="00AB3876" w:rsidRPr="006118D1" w:rsidRDefault="00AB3876" w:rsidP="00AB3876">
            <w:pPr>
              <w:jc w:val="center"/>
              <w:rPr>
                <w:rFonts w:ascii="Andalus" w:hAnsi="Andalus" w:cs="Andalus"/>
                <w:b/>
                <w:szCs w:val="22"/>
              </w:rPr>
            </w:pPr>
            <w:r w:rsidRPr="006118D1">
              <w:rPr>
                <w:rFonts w:ascii="Andalus" w:hAnsi="Andalus" w:cs="Andalus"/>
                <w:b/>
                <w:szCs w:val="22"/>
              </w:rPr>
              <w:t>Compétence visée</w:t>
            </w:r>
          </w:p>
        </w:tc>
        <w:tc>
          <w:tcPr>
            <w:tcW w:w="12615" w:type="dxa"/>
            <w:gridSpan w:val="8"/>
          </w:tcPr>
          <w:p w:rsidR="00AB3876" w:rsidRPr="00D37F4D" w:rsidRDefault="00AB3876" w:rsidP="00AB3876">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AB3876" w:rsidRPr="006266E2" w:rsidTr="009C3EA7">
        <w:trPr>
          <w:trHeight w:val="264"/>
        </w:trPr>
        <w:tc>
          <w:tcPr>
            <w:tcW w:w="3369" w:type="dxa"/>
            <w:gridSpan w:val="2"/>
            <w:shd w:val="clear" w:color="auto" w:fill="90F6F8"/>
          </w:tcPr>
          <w:p w:rsidR="00AB3876" w:rsidRPr="006118D1" w:rsidRDefault="00AB3876" w:rsidP="00AB3876">
            <w:pPr>
              <w:spacing w:before="120"/>
              <w:jc w:val="center"/>
              <w:rPr>
                <w:rFonts w:ascii="Andalus" w:hAnsi="Andalus" w:cs="Andalus"/>
                <w:b/>
                <w:szCs w:val="22"/>
              </w:rPr>
            </w:pPr>
            <w:r w:rsidRPr="006118D1">
              <w:rPr>
                <w:rFonts w:ascii="Andalus" w:hAnsi="Andalus" w:cs="Andalus"/>
                <w:b/>
                <w:szCs w:val="22"/>
              </w:rPr>
              <w:t>O.T.C</w:t>
            </w:r>
          </w:p>
        </w:tc>
        <w:tc>
          <w:tcPr>
            <w:tcW w:w="12615" w:type="dxa"/>
            <w:gridSpan w:val="8"/>
          </w:tcPr>
          <w:p w:rsidR="00AB3876" w:rsidRPr="000A7849" w:rsidRDefault="00AB3876" w:rsidP="00AB3876">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8E4987" w:rsidRPr="006266E2" w:rsidTr="009C3EA7">
        <w:trPr>
          <w:trHeight w:val="209"/>
        </w:trPr>
        <w:tc>
          <w:tcPr>
            <w:tcW w:w="3369" w:type="dxa"/>
            <w:gridSpan w:val="2"/>
            <w:shd w:val="clear" w:color="auto" w:fill="90F6F8"/>
          </w:tcPr>
          <w:p w:rsidR="008E4987" w:rsidRPr="006266E2" w:rsidRDefault="008E4987" w:rsidP="008E4987">
            <w:pPr>
              <w:rPr>
                <w:rFonts w:ascii="Andalus" w:hAnsi="Andalus" w:cs="Andalus"/>
                <w:b/>
              </w:rPr>
            </w:pPr>
            <w:r w:rsidRPr="006266E2">
              <w:rPr>
                <w:rFonts w:ascii="Andalus" w:hAnsi="Andalus" w:cs="Andalus"/>
                <w:b/>
              </w:rPr>
              <w:t xml:space="preserve">      Objectif de la séance </w:t>
            </w:r>
          </w:p>
        </w:tc>
        <w:tc>
          <w:tcPr>
            <w:tcW w:w="12615" w:type="dxa"/>
            <w:gridSpan w:val="8"/>
          </w:tcPr>
          <w:p w:rsidR="008E4987" w:rsidRPr="00B87E3A" w:rsidRDefault="008E4987" w:rsidP="008E4987">
            <w:pPr>
              <w:rPr>
                <w:rFonts w:ascii="Andalus" w:hAnsi="Andalus" w:cs="Andalus"/>
                <w:sz w:val="22"/>
                <w:szCs w:val="22"/>
                <w:lang w:bidi="ar-MA"/>
              </w:rPr>
            </w:pPr>
            <w:r w:rsidRPr="00B87E3A">
              <w:rPr>
                <w:rFonts w:ascii="Andalus" w:hAnsi="Andalus" w:cs="Andalus"/>
                <w:sz w:val="22"/>
                <w:szCs w:val="22"/>
                <w:lang w:bidi="ar-MA"/>
              </w:rPr>
              <w:t>S'approprier la technique des différentes passes:</w:t>
            </w:r>
            <w:r>
              <w:rPr>
                <w:rFonts w:ascii="Andalus" w:hAnsi="Andalus" w:cs="Andalus"/>
                <w:sz w:val="22"/>
                <w:szCs w:val="22"/>
                <w:lang w:bidi="ar-MA"/>
              </w:rPr>
              <w:t xml:space="preserve"> </w:t>
            </w:r>
            <w:r w:rsidRPr="00B87E3A">
              <w:rPr>
                <w:rFonts w:ascii="Andalus" w:hAnsi="Andalus" w:cs="Andalus"/>
                <w:sz w:val="22"/>
                <w:szCs w:val="22"/>
                <w:lang w:bidi="ar-MA"/>
              </w:rPr>
              <w:t>(passe courte, longue, haute, arrière)</w:t>
            </w:r>
          </w:p>
        </w:tc>
      </w:tr>
      <w:tr w:rsidR="0040638D" w:rsidRPr="006266E2" w:rsidTr="00750DDD">
        <w:trPr>
          <w:trHeight w:val="116"/>
        </w:trPr>
        <w:tc>
          <w:tcPr>
            <w:tcW w:w="1951"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4033" w:type="dxa"/>
            <w:gridSpan w:val="9"/>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750DDD">
        <w:trPr>
          <w:trHeight w:val="597"/>
        </w:trPr>
        <w:tc>
          <w:tcPr>
            <w:tcW w:w="1951"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4033" w:type="dxa"/>
            <w:gridSpan w:val="9"/>
          </w:tcPr>
          <w:p w:rsidR="0040638D" w:rsidRPr="006266E2" w:rsidRDefault="0040638D" w:rsidP="008E4987">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9C3EA7" w:rsidRPr="006266E2" w:rsidTr="009C3EA7">
        <w:trPr>
          <w:trHeight w:val="200"/>
        </w:trPr>
        <w:tc>
          <w:tcPr>
            <w:tcW w:w="1951" w:type="dxa"/>
            <w:vMerge w:val="restart"/>
            <w:shd w:val="clear" w:color="auto" w:fill="90F6F8"/>
          </w:tcPr>
          <w:p w:rsidR="002C028A" w:rsidRPr="006266E2" w:rsidRDefault="002C028A" w:rsidP="005A3C69">
            <w:pPr>
              <w:jc w:val="center"/>
              <w:rPr>
                <w:rFonts w:ascii="Andalus" w:hAnsi="Andalus" w:cs="Andalus"/>
                <w:b/>
                <w:sz w:val="26"/>
                <w:szCs w:val="26"/>
              </w:rPr>
            </w:pPr>
          </w:p>
          <w:p w:rsidR="002C028A" w:rsidRPr="006266E2" w:rsidRDefault="002C028A" w:rsidP="00750DDD">
            <w:pPr>
              <w:rPr>
                <w:rFonts w:ascii="Andalus" w:hAnsi="Andalus" w:cs="Andalus"/>
                <w:b/>
                <w:sz w:val="26"/>
                <w:szCs w:val="26"/>
              </w:rPr>
            </w:pPr>
          </w:p>
          <w:p w:rsidR="002C028A" w:rsidRPr="006266E2" w:rsidRDefault="002C028A" w:rsidP="005A3C69">
            <w:pPr>
              <w:rPr>
                <w:rFonts w:ascii="Andalus" w:hAnsi="Andalus" w:cs="Andalus"/>
                <w:b/>
                <w:sz w:val="26"/>
                <w:szCs w:val="26"/>
              </w:rPr>
            </w:pPr>
          </w:p>
          <w:p w:rsidR="002C028A" w:rsidRDefault="002C028A" w:rsidP="005A3C69">
            <w:pPr>
              <w:jc w:val="center"/>
              <w:rPr>
                <w:rFonts w:ascii="Andalus" w:hAnsi="Andalus" w:cs="Andalus"/>
                <w:b/>
                <w:sz w:val="26"/>
                <w:szCs w:val="26"/>
              </w:rPr>
            </w:pPr>
          </w:p>
          <w:p w:rsidR="009C3EA7" w:rsidRPr="006266E2" w:rsidRDefault="009C3EA7" w:rsidP="009C3EA7">
            <w:pPr>
              <w:rPr>
                <w:rFonts w:ascii="Andalus" w:hAnsi="Andalus" w:cs="Andalus"/>
                <w:b/>
                <w:sz w:val="26"/>
                <w:szCs w:val="26"/>
              </w:rPr>
            </w:pPr>
          </w:p>
          <w:p w:rsidR="002C028A" w:rsidRPr="006266E2" w:rsidRDefault="002C028A" w:rsidP="005A3C69">
            <w:pPr>
              <w:jc w:val="center"/>
              <w:rPr>
                <w:rFonts w:ascii="Andalus" w:hAnsi="Andalus" w:cs="Andalus"/>
                <w:b/>
                <w:sz w:val="26"/>
                <w:szCs w:val="26"/>
              </w:rPr>
            </w:pPr>
            <w:r w:rsidRPr="006266E2">
              <w:rPr>
                <w:rFonts w:ascii="Andalus" w:hAnsi="Andalus" w:cs="Andalus"/>
                <w:b/>
                <w:sz w:val="26"/>
                <w:szCs w:val="26"/>
              </w:rPr>
              <w:t xml:space="preserve">Fondamentale </w:t>
            </w:r>
          </w:p>
          <w:p w:rsidR="002C028A" w:rsidRPr="006266E2" w:rsidRDefault="002C028A" w:rsidP="005A3C69">
            <w:pPr>
              <w:jc w:val="center"/>
              <w:rPr>
                <w:rFonts w:ascii="Andalus" w:hAnsi="Andalus" w:cs="Andalus"/>
                <w:bCs/>
                <w:sz w:val="28"/>
              </w:rPr>
            </w:pPr>
            <w:r w:rsidRPr="006266E2">
              <w:rPr>
                <w:rFonts w:ascii="Andalus" w:hAnsi="Andalus" w:cs="Andalus"/>
                <w:bCs/>
                <w:sz w:val="26"/>
                <w:szCs w:val="26"/>
              </w:rPr>
              <w:t>30 à 35’</w:t>
            </w:r>
          </w:p>
        </w:tc>
        <w:tc>
          <w:tcPr>
            <w:tcW w:w="3686" w:type="dxa"/>
            <w:gridSpan w:val="2"/>
            <w:vMerge w:val="restart"/>
          </w:tcPr>
          <w:p w:rsidR="002C028A" w:rsidRDefault="002C028A" w:rsidP="008E4987">
            <w:pPr>
              <w:jc w:val="both"/>
              <w:rPr>
                <w:rFonts w:ascii="Andalus" w:hAnsi="Andalus" w:cs="Andalus"/>
                <w:b/>
                <w:bCs/>
                <w:sz w:val="22"/>
                <w:szCs w:val="22"/>
                <w:lang w:bidi="ar-MA"/>
              </w:rPr>
            </w:pPr>
            <w:r w:rsidRPr="008E4987">
              <w:rPr>
                <w:rFonts w:ascii="Andalus" w:hAnsi="Andalus" w:cs="Andalus"/>
                <w:b/>
                <w:bCs/>
                <w:sz w:val="22"/>
                <w:szCs w:val="22"/>
                <w:lang w:bidi="ar-MA"/>
              </w:rPr>
              <w:t>Situation 1:</w:t>
            </w:r>
          </w:p>
          <w:p w:rsidR="002C028A" w:rsidRPr="002C028A" w:rsidRDefault="002C028A" w:rsidP="008E4987">
            <w:pPr>
              <w:pStyle w:val="Paragraphedeliste"/>
              <w:numPr>
                <w:ilvl w:val="0"/>
                <w:numId w:val="29"/>
              </w:numPr>
              <w:jc w:val="both"/>
              <w:rPr>
                <w:rFonts w:ascii="Andalus" w:hAnsi="Andalus" w:cs="Andalus"/>
                <w:b/>
                <w:bCs/>
                <w:sz w:val="20"/>
                <w:szCs w:val="20"/>
                <w:lang w:bidi="ar-MA"/>
              </w:rPr>
            </w:pPr>
            <w:r w:rsidRPr="002C028A">
              <w:rPr>
                <w:rFonts w:ascii="Andalus" w:hAnsi="Andalus" w:cs="Andalus"/>
                <w:b/>
                <w:bCs/>
                <w:sz w:val="20"/>
                <w:szCs w:val="20"/>
              </w:rPr>
              <w:t>Passe Arrière</w:t>
            </w:r>
            <w:r w:rsidRPr="002C028A">
              <w:rPr>
                <w:rFonts w:ascii="Andalus" w:hAnsi="Andalus" w:cs="Andalus"/>
                <w:sz w:val="20"/>
                <w:szCs w:val="20"/>
              </w:rPr>
              <w:t xml:space="preserve">: </w:t>
            </w:r>
            <w:r w:rsidRPr="002C028A">
              <w:rPr>
                <w:rFonts w:ascii="Andalus" w:hAnsi="Andalus" w:cs="Andalus"/>
                <w:b/>
                <w:bCs/>
                <w:sz w:val="20"/>
                <w:szCs w:val="20"/>
              </w:rPr>
              <w:t>A</w:t>
            </w:r>
            <w:r w:rsidRPr="002C028A">
              <w:rPr>
                <w:rFonts w:ascii="Andalus" w:hAnsi="Andalus" w:cs="Andalus"/>
                <w:sz w:val="20"/>
                <w:szCs w:val="20"/>
              </w:rPr>
              <w:t xml:space="preserve"> fait une passe à</w:t>
            </w:r>
            <w:r w:rsidRPr="002C028A">
              <w:rPr>
                <w:rFonts w:ascii="Andalus" w:hAnsi="Andalus" w:cs="Andalus"/>
                <w:b/>
                <w:bCs/>
                <w:sz w:val="20"/>
                <w:szCs w:val="20"/>
              </w:rPr>
              <w:t xml:space="preserve"> B</w:t>
            </w:r>
            <w:r w:rsidRPr="002C028A">
              <w:rPr>
                <w:rFonts w:ascii="Andalus" w:hAnsi="Andalus" w:cs="Andalus"/>
                <w:sz w:val="20"/>
                <w:szCs w:val="20"/>
              </w:rPr>
              <w:t xml:space="preserve">, </w:t>
            </w:r>
            <w:r w:rsidRPr="002C028A">
              <w:rPr>
                <w:rFonts w:ascii="Andalus" w:hAnsi="Andalus" w:cs="Andalus"/>
                <w:b/>
                <w:bCs/>
                <w:sz w:val="20"/>
                <w:szCs w:val="20"/>
              </w:rPr>
              <w:t>B</w:t>
            </w:r>
            <w:r w:rsidRPr="002C028A">
              <w:rPr>
                <w:rFonts w:ascii="Andalus" w:hAnsi="Andalus" w:cs="Andalus"/>
                <w:sz w:val="20"/>
                <w:szCs w:val="20"/>
              </w:rPr>
              <w:t xml:space="preserve"> une passe arrière à </w:t>
            </w:r>
            <w:r w:rsidRPr="002C028A">
              <w:rPr>
                <w:rFonts w:ascii="Andalus" w:hAnsi="Andalus" w:cs="Andalus"/>
                <w:b/>
                <w:bCs/>
                <w:sz w:val="20"/>
                <w:szCs w:val="20"/>
              </w:rPr>
              <w:t>C</w:t>
            </w:r>
            <w:r w:rsidRPr="002C028A">
              <w:rPr>
                <w:rFonts w:ascii="Andalus" w:hAnsi="Andalus" w:cs="Andalus"/>
                <w:sz w:val="20"/>
                <w:szCs w:val="20"/>
              </w:rPr>
              <w:t xml:space="preserve">, </w:t>
            </w:r>
            <w:r w:rsidRPr="002C028A">
              <w:rPr>
                <w:rFonts w:ascii="Andalus" w:hAnsi="Andalus" w:cs="Andalus"/>
                <w:b/>
                <w:bCs/>
                <w:sz w:val="20"/>
                <w:szCs w:val="20"/>
              </w:rPr>
              <w:t>C</w:t>
            </w:r>
            <w:r w:rsidRPr="002C028A">
              <w:rPr>
                <w:rFonts w:ascii="Andalus" w:hAnsi="Andalus" w:cs="Andalus"/>
                <w:sz w:val="20"/>
                <w:szCs w:val="20"/>
              </w:rPr>
              <w:t xml:space="preserve"> une passe à </w:t>
            </w:r>
            <w:r w:rsidRPr="002C028A">
              <w:rPr>
                <w:rFonts w:ascii="Andalus" w:hAnsi="Andalus" w:cs="Andalus"/>
                <w:b/>
                <w:bCs/>
                <w:sz w:val="20"/>
                <w:szCs w:val="20"/>
              </w:rPr>
              <w:t>A.</w:t>
            </w:r>
          </w:p>
          <w:p w:rsidR="002C028A" w:rsidRPr="002C028A" w:rsidRDefault="002C028A" w:rsidP="008E4987">
            <w:pPr>
              <w:pStyle w:val="Paragraphedeliste"/>
              <w:numPr>
                <w:ilvl w:val="0"/>
                <w:numId w:val="29"/>
              </w:numPr>
              <w:jc w:val="both"/>
              <w:rPr>
                <w:rFonts w:ascii="Andalus" w:hAnsi="Andalus" w:cs="Andalus"/>
                <w:b/>
                <w:bCs/>
                <w:sz w:val="20"/>
                <w:szCs w:val="20"/>
                <w:u w:val="single"/>
              </w:rPr>
            </w:pPr>
            <w:r w:rsidRPr="002C028A">
              <w:rPr>
                <w:rFonts w:ascii="Andalus" w:hAnsi="Andalus" w:cs="Andalus"/>
                <w:b/>
                <w:bCs/>
                <w:sz w:val="20"/>
                <w:szCs w:val="20"/>
              </w:rPr>
              <w:t>Passe longue:</w:t>
            </w:r>
            <w:r w:rsidRPr="002C028A">
              <w:rPr>
                <w:rFonts w:ascii="Andalus" w:hAnsi="Andalus" w:cs="Andalus"/>
                <w:b/>
                <w:bCs/>
                <w:sz w:val="20"/>
                <w:szCs w:val="20"/>
                <w:u w:val="single"/>
              </w:rPr>
              <w:t xml:space="preserve"> </w:t>
            </w:r>
            <w:r w:rsidRPr="002C028A">
              <w:rPr>
                <w:rFonts w:ascii="Andalus" w:hAnsi="Andalus" w:cs="Andalus"/>
                <w:sz w:val="20"/>
                <w:szCs w:val="20"/>
              </w:rPr>
              <w:t xml:space="preserve">Passes entre </w:t>
            </w:r>
            <w:r w:rsidRPr="002C028A">
              <w:rPr>
                <w:rFonts w:ascii="Andalus" w:hAnsi="Andalus" w:cs="Andalus"/>
                <w:b/>
                <w:bCs/>
                <w:sz w:val="20"/>
                <w:szCs w:val="20"/>
              </w:rPr>
              <w:t>A</w:t>
            </w:r>
            <w:r w:rsidRPr="002C028A">
              <w:rPr>
                <w:rFonts w:ascii="Andalus" w:hAnsi="Andalus" w:cs="Andalus"/>
                <w:sz w:val="20"/>
                <w:szCs w:val="20"/>
              </w:rPr>
              <w:t xml:space="preserve"> et </w:t>
            </w:r>
            <w:r w:rsidRPr="002C028A">
              <w:rPr>
                <w:rFonts w:ascii="Andalus" w:hAnsi="Andalus" w:cs="Andalus"/>
                <w:b/>
                <w:bCs/>
                <w:sz w:val="20"/>
                <w:szCs w:val="20"/>
              </w:rPr>
              <w:t>B</w:t>
            </w:r>
            <w:r w:rsidRPr="002C028A">
              <w:rPr>
                <w:rFonts w:ascii="Andalus" w:hAnsi="Andalus" w:cs="Andalus"/>
                <w:sz w:val="20"/>
                <w:szCs w:val="20"/>
              </w:rPr>
              <w:t xml:space="preserve"> (</w:t>
            </w:r>
            <w:r w:rsidRPr="002C028A">
              <w:rPr>
                <w:rFonts w:ascii="Andalus" w:hAnsi="Andalus" w:cs="Andalus"/>
                <w:b/>
                <w:bCs/>
                <w:sz w:val="20"/>
                <w:szCs w:val="20"/>
              </w:rPr>
              <w:t>C</w:t>
            </w:r>
            <w:r w:rsidRPr="002C028A">
              <w:rPr>
                <w:rFonts w:ascii="Andalus" w:hAnsi="Andalus" w:cs="Andalus"/>
                <w:sz w:val="20"/>
                <w:szCs w:val="20"/>
              </w:rPr>
              <w:t xml:space="preserve"> et </w:t>
            </w:r>
            <w:r w:rsidRPr="002C028A">
              <w:rPr>
                <w:rFonts w:ascii="Andalus" w:hAnsi="Andalus" w:cs="Andalus"/>
                <w:b/>
                <w:bCs/>
                <w:sz w:val="20"/>
                <w:szCs w:val="20"/>
              </w:rPr>
              <w:t>D</w:t>
            </w:r>
            <w:r w:rsidRPr="002C028A">
              <w:rPr>
                <w:rFonts w:ascii="Andalus" w:hAnsi="Andalus" w:cs="Andalus"/>
                <w:sz w:val="20"/>
                <w:szCs w:val="20"/>
              </w:rPr>
              <w:t>) sur la grande diagonale.</w:t>
            </w:r>
          </w:p>
          <w:p w:rsidR="002C028A" w:rsidRPr="002C028A" w:rsidRDefault="002C028A" w:rsidP="008E4987">
            <w:pPr>
              <w:pStyle w:val="Paragraphedeliste"/>
              <w:numPr>
                <w:ilvl w:val="0"/>
                <w:numId w:val="29"/>
              </w:numPr>
              <w:jc w:val="both"/>
              <w:rPr>
                <w:rFonts w:ascii="Andalus" w:hAnsi="Andalus" w:cs="Andalus"/>
                <w:b/>
                <w:bCs/>
                <w:sz w:val="20"/>
                <w:szCs w:val="20"/>
                <w:u w:val="single"/>
              </w:rPr>
            </w:pPr>
            <w:r w:rsidRPr="002C028A">
              <w:rPr>
                <w:rFonts w:ascii="Andalus" w:hAnsi="Andalus" w:cs="Andalus"/>
                <w:sz w:val="20"/>
                <w:szCs w:val="20"/>
              </w:rPr>
              <w:t xml:space="preserve"> </w:t>
            </w:r>
            <w:r w:rsidRPr="002C028A">
              <w:rPr>
                <w:rFonts w:ascii="Andalus" w:hAnsi="Andalus" w:cs="Andalus"/>
                <w:b/>
                <w:bCs/>
                <w:sz w:val="20"/>
                <w:szCs w:val="20"/>
              </w:rPr>
              <w:t>Passe en suspension:</w:t>
            </w:r>
            <w:r w:rsidRPr="002C028A">
              <w:rPr>
                <w:rFonts w:ascii="Andalus" w:hAnsi="Andalus" w:cs="Andalus"/>
                <w:sz w:val="20"/>
                <w:szCs w:val="20"/>
              </w:rPr>
              <w:t xml:space="preserve"> Passes en suspension, de part et d’autre du filet. (une main s'il est possible).</w:t>
            </w:r>
          </w:p>
          <w:p w:rsidR="002C028A" w:rsidRPr="002C028A" w:rsidRDefault="002C028A" w:rsidP="008E4987">
            <w:pPr>
              <w:pStyle w:val="Paragraphedeliste"/>
              <w:numPr>
                <w:ilvl w:val="0"/>
                <w:numId w:val="29"/>
              </w:numPr>
              <w:jc w:val="both"/>
              <w:rPr>
                <w:rFonts w:ascii="Andalus" w:hAnsi="Andalus" w:cs="Andalus"/>
                <w:b/>
                <w:bCs/>
                <w:sz w:val="20"/>
                <w:szCs w:val="20"/>
                <w:u w:val="single"/>
              </w:rPr>
            </w:pPr>
            <w:r w:rsidRPr="002C028A">
              <w:rPr>
                <w:rFonts w:ascii="Andalus" w:hAnsi="Andalus" w:cs="Andalus"/>
                <w:b/>
                <w:bCs/>
                <w:sz w:val="20"/>
                <w:szCs w:val="20"/>
              </w:rPr>
              <w:t>Stabilisation de la passe</w:t>
            </w:r>
            <w:r w:rsidRPr="002C028A">
              <w:rPr>
                <w:rFonts w:ascii="Andalus" w:hAnsi="Andalus" w:cs="Andalus"/>
                <w:b/>
                <w:bCs/>
                <w:sz w:val="20"/>
                <w:szCs w:val="20"/>
                <w:lang w:bidi="ar-MA"/>
              </w:rPr>
              <w:t xml:space="preserve">: </w:t>
            </w:r>
            <w:r w:rsidRPr="002C028A">
              <w:rPr>
                <w:rFonts w:ascii="Andalus" w:hAnsi="Andalus" w:cs="Andalus"/>
                <w:sz w:val="20"/>
                <w:szCs w:val="20"/>
                <w:lang w:bidi="ar-MA"/>
              </w:rPr>
              <w:t>Jeu</w:t>
            </w:r>
            <w:r w:rsidRPr="002C028A">
              <w:rPr>
                <w:rFonts w:ascii="Andalus" w:hAnsi="Andalus" w:cs="Andalus"/>
                <w:sz w:val="20"/>
                <w:szCs w:val="20"/>
              </w:rPr>
              <w:t>/Compétition: C’est à l’équipe qui parviendra à faire le moins de passes en une minute, sans arrêter le ballon.</w:t>
            </w:r>
          </w:p>
          <w:p w:rsidR="002C028A" w:rsidRPr="008E4987" w:rsidRDefault="002C028A" w:rsidP="008E4987">
            <w:pPr>
              <w:jc w:val="both"/>
              <w:rPr>
                <w:rFonts w:ascii="Andalus" w:hAnsi="Andalus" w:cs="Andalus"/>
                <w:b/>
                <w:bCs/>
                <w:sz w:val="22"/>
                <w:szCs w:val="22"/>
                <w:lang w:bidi="ar-MA"/>
              </w:rPr>
            </w:pPr>
            <w:r w:rsidRPr="008E4987">
              <w:rPr>
                <w:rFonts w:ascii="Andalus" w:hAnsi="Andalus" w:cs="Andalus"/>
                <w:b/>
                <w:bCs/>
                <w:sz w:val="22"/>
                <w:szCs w:val="22"/>
                <w:lang w:bidi="ar-MA"/>
              </w:rPr>
              <w:t xml:space="preserve">Situation de référence: </w:t>
            </w:r>
            <w:r w:rsidRPr="008E4987">
              <w:rPr>
                <w:rFonts w:ascii="Andalus" w:hAnsi="Andalus" w:cs="Andalus"/>
                <w:sz w:val="22"/>
                <w:szCs w:val="22"/>
                <w:lang w:bidi="ar-MA"/>
              </w:rPr>
              <w:t>match d’application de 6 vs 6.</w:t>
            </w:r>
          </w:p>
        </w:tc>
        <w:tc>
          <w:tcPr>
            <w:tcW w:w="3543" w:type="dxa"/>
            <w:gridSpan w:val="2"/>
            <w:vMerge w:val="restart"/>
            <w:vAlign w:val="center"/>
          </w:tcPr>
          <w:p w:rsidR="002C028A" w:rsidRPr="006266E2" w:rsidRDefault="00A06E75" w:rsidP="005A3C69">
            <w:pPr>
              <w:rPr>
                <w:rFonts w:ascii="Andalus" w:hAnsi="Andalus" w:cs="Andalus"/>
                <w:b/>
                <w:sz w:val="18"/>
                <w:szCs w:val="18"/>
              </w:rPr>
            </w:pPr>
            <w:r>
              <w:rPr>
                <w:rFonts w:ascii="Verdana" w:hAnsi="Verdana"/>
                <w:noProof/>
                <w:sz w:val="20"/>
                <w:szCs w:val="20"/>
              </w:rPr>
              <w:drawing>
                <wp:anchor distT="0" distB="0" distL="114300" distR="114300" simplePos="0" relativeHeight="251664384" behindDoc="1" locked="0" layoutInCell="1" allowOverlap="1">
                  <wp:simplePos x="0" y="0"/>
                  <wp:positionH relativeFrom="column">
                    <wp:posOffset>1058545</wp:posOffset>
                  </wp:positionH>
                  <wp:positionV relativeFrom="paragraph">
                    <wp:posOffset>844550</wp:posOffset>
                  </wp:positionV>
                  <wp:extent cx="942975" cy="676275"/>
                  <wp:effectExtent l="19050" t="0" r="9525" b="0"/>
                  <wp:wrapNone/>
                  <wp:docPr id="2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srcRect l="13380" r="4930"/>
                          <a:stretch>
                            <a:fillRect/>
                          </a:stretch>
                        </pic:blipFill>
                        <pic:spPr bwMode="auto">
                          <a:xfrm rot="10800000" flipV="1">
                            <a:off x="0" y="0"/>
                            <a:ext cx="942975" cy="676275"/>
                          </a:xfrm>
                          <a:prstGeom prst="rect">
                            <a:avLst/>
                          </a:prstGeom>
                          <a:noFill/>
                          <a:ln w="9525">
                            <a:noFill/>
                            <a:miter lim="800000"/>
                            <a:headEnd/>
                            <a:tailEnd/>
                          </a:ln>
                        </pic:spPr>
                      </pic:pic>
                    </a:graphicData>
                  </a:graphic>
                </wp:anchor>
              </w:drawing>
            </w:r>
            <w:r>
              <w:rPr>
                <w:rFonts w:ascii="Verdana" w:hAnsi="Verdana"/>
                <w:noProof/>
                <w:sz w:val="20"/>
                <w:szCs w:val="20"/>
              </w:rPr>
              <w:drawing>
                <wp:anchor distT="0" distB="0" distL="114300" distR="114300" simplePos="0" relativeHeight="251665408" behindDoc="1" locked="0" layoutInCell="1" allowOverlap="1">
                  <wp:simplePos x="0" y="0"/>
                  <wp:positionH relativeFrom="column">
                    <wp:posOffset>782320</wp:posOffset>
                  </wp:positionH>
                  <wp:positionV relativeFrom="paragraph">
                    <wp:posOffset>2160905</wp:posOffset>
                  </wp:positionV>
                  <wp:extent cx="1371600" cy="838200"/>
                  <wp:effectExtent l="19050" t="0" r="0" b="0"/>
                  <wp:wrapNone/>
                  <wp:docPr id="2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a:srcRect l="12648" r="10277"/>
                          <a:stretch>
                            <a:fillRect/>
                          </a:stretch>
                        </pic:blipFill>
                        <pic:spPr bwMode="auto">
                          <a:xfrm>
                            <a:off x="0" y="0"/>
                            <a:ext cx="1371600" cy="838200"/>
                          </a:xfrm>
                          <a:prstGeom prst="rect">
                            <a:avLst/>
                          </a:prstGeom>
                          <a:noFill/>
                          <a:ln w="9525">
                            <a:noFill/>
                            <a:miter lim="800000"/>
                            <a:headEnd/>
                            <a:tailEnd/>
                          </a:ln>
                        </pic:spPr>
                      </pic:pic>
                    </a:graphicData>
                  </a:graphic>
                </wp:anchor>
              </w:drawing>
            </w:r>
            <w:r>
              <w:rPr>
                <w:rFonts w:ascii="Verdana" w:hAnsi="Verdana"/>
                <w:noProof/>
                <w:sz w:val="20"/>
                <w:szCs w:val="20"/>
              </w:rPr>
              <w:drawing>
                <wp:anchor distT="0" distB="0" distL="114300" distR="114300" simplePos="0" relativeHeight="251663360" behindDoc="1" locked="0" layoutInCell="1" allowOverlap="1">
                  <wp:simplePos x="0" y="0"/>
                  <wp:positionH relativeFrom="column">
                    <wp:posOffset>48895</wp:posOffset>
                  </wp:positionH>
                  <wp:positionV relativeFrom="paragraph">
                    <wp:posOffset>1475105</wp:posOffset>
                  </wp:positionV>
                  <wp:extent cx="1447800" cy="609600"/>
                  <wp:effectExtent l="19050" t="0" r="0" b="0"/>
                  <wp:wrapNone/>
                  <wp:docPr id="1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a:srcRect/>
                          <a:stretch>
                            <a:fillRect/>
                          </a:stretch>
                        </pic:blipFill>
                        <pic:spPr bwMode="auto">
                          <a:xfrm>
                            <a:off x="0" y="0"/>
                            <a:ext cx="1447800" cy="609600"/>
                          </a:xfrm>
                          <a:prstGeom prst="rect">
                            <a:avLst/>
                          </a:prstGeom>
                          <a:noFill/>
                          <a:ln w="9525">
                            <a:noFill/>
                            <a:miter lim="800000"/>
                            <a:headEnd/>
                            <a:tailEnd/>
                          </a:ln>
                        </pic:spPr>
                      </pic:pic>
                    </a:graphicData>
                  </a:graphic>
                </wp:anchor>
              </w:drawing>
            </w:r>
            <w:r>
              <w:rPr>
                <w:rFonts w:ascii="Verdana" w:hAnsi="Verdana"/>
                <w:noProof/>
                <w:sz w:val="20"/>
                <w:szCs w:val="20"/>
              </w:rPr>
              <w:drawing>
                <wp:anchor distT="0" distB="0" distL="114300" distR="114300" simplePos="0" relativeHeight="251666432" behindDoc="1" locked="0" layoutInCell="1" allowOverlap="1">
                  <wp:simplePos x="0" y="0"/>
                  <wp:positionH relativeFrom="column">
                    <wp:posOffset>48895</wp:posOffset>
                  </wp:positionH>
                  <wp:positionV relativeFrom="paragraph">
                    <wp:posOffset>36830</wp:posOffset>
                  </wp:positionV>
                  <wp:extent cx="1552575" cy="695325"/>
                  <wp:effectExtent l="19050" t="0" r="9525" b="0"/>
                  <wp:wrapNone/>
                  <wp:docPr id="22" name="Imag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a:srcRect/>
                          <a:stretch>
                            <a:fillRect/>
                          </a:stretch>
                        </pic:blipFill>
                        <pic:spPr bwMode="auto">
                          <a:xfrm>
                            <a:off x="0" y="0"/>
                            <a:ext cx="1552575" cy="695325"/>
                          </a:xfrm>
                          <a:prstGeom prst="rect">
                            <a:avLst/>
                          </a:prstGeom>
                          <a:noFill/>
                          <a:ln w="9525">
                            <a:noFill/>
                            <a:miter lim="800000"/>
                            <a:headEnd/>
                            <a:tailEnd/>
                          </a:ln>
                        </pic:spPr>
                      </pic:pic>
                    </a:graphicData>
                  </a:graphic>
                </wp:anchor>
              </w:drawing>
            </w:r>
          </w:p>
        </w:tc>
        <w:tc>
          <w:tcPr>
            <w:tcW w:w="2410"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But </w:t>
            </w:r>
          </w:p>
        </w:tc>
        <w:tc>
          <w:tcPr>
            <w:tcW w:w="2126" w:type="dxa"/>
            <w:gridSpan w:val="2"/>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Condition de réalisation</w:t>
            </w:r>
          </w:p>
        </w:tc>
        <w:tc>
          <w:tcPr>
            <w:tcW w:w="2268" w:type="dxa"/>
            <w:shd w:val="clear" w:color="auto" w:fill="90F6F8"/>
          </w:tcPr>
          <w:p w:rsidR="002C028A" w:rsidRPr="006266E2" w:rsidRDefault="002C028A" w:rsidP="005A3C69">
            <w:pPr>
              <w:jc w:val="center"/>
              <w:rPr>
                <w:rFonts w:ascii="Andalus" w:hAnsi="Andalus" w:cs="Andalus"/>
                <w:b/>
                <w:sz w:val="22"/>
                <w:szCs w:val="20"/>
              </w:rPr>
            </w:pPr>
            <w:r w:rsidRPr="006266E2">
              <w:rPr>
                <w:rFonts w:ascii="Andalus" w:hAnsi="Andalus" w:cs="Andalus"/>
                <w:b/>
                <w:sz w:val="22"/>
                <w:szCs w:val="20"/>
              </w:rPr>
              <w:t xml:space="preserve">Consignes </w:t>
            </w:r>
          </w:p>
        </w:tc>
      </w:tr>
      <w:tr w:rsidR="002C028A" w:rsidRPr="006266E2" w:rsidTr="009C3EA7">
        <w:trPr>
          <w:trHeight w:val="896"/>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686" w:type="dxa"/>
            <w:gridSpan w:val="2"/>
            <w:vMerge/>
          </w:tcPr>
          <w:p w:rsidR="002C028A" w:rsidRPr="006266E2" w:rsidRDefault="002C028A" w:rsidP="005A3C69">
            <w:pPr>
              <w:jc w:val="center"/>
              <w:rPr>
                <w:rFonts w:ascii="Andalus" w:hAnsi="Andalus" w:cs="Andalus"/>
                <w:b/>
                <w:sz w:val="28"/>
              </w:rPr>
            </w:pPr>
          </w:p>
        </w:tc>
        <w:tc>
          <w:tcPr>
            <w:tcW w:w="3543" w:type="dxa"/>
            <w:gridSpan w:val="2"/>
            <w:vMerge/>
          </w:tcPr>
          <w:p w:rsidR="002C028A" w:rsidRPr="006266E2" w:rsidRDefault="002C028A" w:rsidP="005A3C69">
            <w:pPr>
              <w:jc w:val="center"/>
              <w:rPr>
                <w:rFonts w:ascii="Andalus" w:hAnsi="Andalus" w:cs="Andalus"/>
                <w:b/>
                <w:sz w:val="28"/>
              </w:rPr>
            </w:pPr>
          </w:p>
        </w:tc>
        <w:tc>
          <w:tcPr>
            <w:tcW w:w="2410" w:type="dxa"/>
            <w:gridSpan w:val="2"/>
          </w:tcPr>
          <w:p w:rsidR="009C3EA7" w:rsidRDefault="009C3EA7" w:rsidP="009C3EA7">
            <w:pPr>
              <w:pStyle w:val="Paragraphedeliste"/>
              <w:ind w:left="360"/>
              <w:jc w:val="both"/>
              <w:rPr>
                <w:rFonts w:ascii="Andalus" w:hAnsi="Andalus" w:cs="Andalus"/>
                <w:bCs/>
                <w:sz w:val="22"/>
                <w:szCs w:val="22"/>
              </w:rPr>
            </w:pPr>
          </w:p>
          <w:p w:rsidR="002C028A" w:rsidRPr="009C3EA7" w:rsidRDefault="002C028A" w:rsidP="00B542D5">
            <w:pPr>
              <w:pStyle w:val="Paragraphedeliste"/>
              <w:numPr>
                <w:ilvl w:val="0"/>
                <w:numId w:val="23"/>
              </w:numPr>
              <w:jc w:val="both"/>
              <w:rPr>
                <w:rFonts w:ascii="Andalus" w:hAnsi="Andalus" w:cs="Andalus"/>
                <w:bCs/>
                <w:sz w:val="22"/>
                <w:szCs w:val="22"/>
              </w:rPr>
            </w:pPr>
            <w:r>
              <w:rPr>
                <w:rFonts w:ascii="Andalus" w:hAnsi="Andalus" w:cs="Andalus"/>
                <w:bCs/>
                <w:sz w:val="22"/>
                <w:szCs w:val="22"/>
              </w:rPr>
              <w:t xml:space="preserve">Choisir la bonne passe </w:t>
            </w:r>
            <w:r w:rsidR="009C3EA7" w:rsidRPr="009C3EA7">
              <w:rPr>
                <w:rFonts w:ascii="Andalus" w:hAnsi="Andalus" w:cs="Andalus"/>
                <w:bCs/>
                <w:sz w:val="20"/>
                <w:szCs w:val="20"/>
              </w:rPr>
              <w:t>(courte, longue)</w:t>
            </w:r>
          </w:p>
        </w:tc>
        <w:tc>
          <w:tcPr>
            <w:tcW w:w="2126" w:type="dxa"/>
            <w:gridSpan w:val="2"/>
          </w:tcPr>
          <w:p w:rsidR="002C028A" w:rsidRPr="006B276C" w:rsidRDefault="002C028A" w:rsidP="009C3EA7">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Terrain  et ballons de volley-</w:t>
            </w:r>
            <w:r>
              <w:rPr>
                <w:rFonts w:ascii="Andalus" w:hAnsi="Andalus" w:cs="Andalus"/>
                <w:bCs/>
                <w:sz w:val="22"/>
                <w:szCs w:val="22"/>
              </w:rPr>
              <w:t>ball</w:t>
            </w:r>
            <w:r w:rsidRPr="006B276C">
              <w:rPr>
                <w:rFonts w:ascii="Andalus" w:hAnsi="Andalus" w:cs="Andalus"/>
                <w:bCs/>
                <w:sz w:val="22"/>
                <w:szCs w:val="22"/>
              </w:rPr>
              <w:t xml:space="preserve">. </w:t>
            </w:r>
          </w:p>
        </w:tc>
        <w:tc>
          <w:tcPr>
            <w:tcW w:w="2268" w:type="dxa"/>
          </w:tcPr>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Default="002C028A" w:rsidP="002C028A">
            <w:pPr>
              <w:jc w:val="both"/>
              <w:rPr>
                <w:rFonts w:ascii="Andalus" w:hAnsi="Andalus" w:cs="Andalus"/>
                <w:bCs/>
                <w:sz w:val="22"/>
                <w:szCs w:val="22"/>
              </w:rPr>
            </w:pPr>
          </w:p>
          <w:p w:rsidR="002C028A" w:rsidRPr="002C028A" w:rsidRDefault="002C028A" w:rsidP="002C028A">
            <w:pPr>
              <w:jc w:val="both"/>
              <w:rPr>
                <w:rFonts w:ascii="Andalus" w:hAnsi="Andalus" w:cs="Andalus"/>
                <w:bCs/>
                <w:sz w:val="22"/>
                <w:szCs w:val="22"/>
              </w:rPr>
            </w:pPr>
          </w:p>
        </w:tc>
      </w:tr>
      <w:tr w:rsidR="009C3EA7" w:rsidRPr="006266E2" w:rsidTr="009C3EA7">
        <w:trPr>
          <w:trHeight w:val="164"/>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686" w:type="dxa"/>
            <w:gridSpan w:val="2"/>
            <w:vMerge/>
          </w:tcPr>
          <w:p w:rsidR="002C028A" w:rsidRPr="006266E2" w:rsidRDefault="002C028A" w:rsidP="005A3C69">
            <w:pPr>
              <w:jc w:val="center"/>
              <w:rPr>
                <w:rFonts w:ascii="Andalus" w:hAnsi="Andalus" w:cs="Andalus"/>
                <w:bCs/>
                <w:sz w:val="28"/>
              </w:rPr>
            </w:pPr>
          </w:p>
        </w:tc>
        <w:tc>
          <w:tcPr>
            <w:tcW w:w="3543" w:type="dxa"/>
            <w:gridSpan w:val="2"/>
            <w:vMerge/>
          </w:tcPr>
          <w:p w:rsidR="002C028A" w:rsidRPr="006266E2" w:rsidRDefault="002C028A" w:rsidP="005A3C69">
            <w:pPr>
              <w:jc w:val="center"/>
              <w:rPr>
                <w:rFonts w:ascii="Andalus" w:hAnsi="Andalus" w:cs="Andalus"/>
                <w:bCs/>
                <w:sz w:val="28"/>
              </w:rPr>
            </w:pPr>
          </w:p>
        </w:tc>
        <w:tc>
          <w:tcPr>
            <w:tcW w:w="2410"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réalisation</w:t>
            </w:r>
          </w:p>
        </w:tc>
        <w:tc>
          <w:tcPr>
            <w:tcW w:w="2126" w:type="dxa"/>
            <w:gridSpan w:val="2"/>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C. de réussite</w:t>
            </w:r>
          </w:p>
        </w:tc>
        <w:tc>
          <w:tcPr>
            <w:tcW w:w="2268" w:type="dxa"/>
            <w:shd w:val="clear" w:color="auto" w:fill="90F6F8"/>
          </w:tcPr>
          <w:p w:rsidR="002C028A" w:rsidRPr="006266E2" w:rsidRDefault="002C028A" w:rsidP="005A3C69">
            <w:pPr>
              <w:jc w:val="center"/>
              <w:rPr>
                <w:rFonts w:ascii="Andalus" w:hAnsi="Andalus" w:cs="Andalus"/>
                <w:b/>
                <w:sz w:val="22"/>
                <w:szCs w:val="22"/>
              </w:rPr>
            </w:pPr>
            <w:r w:rsidRPr="006266E2">
              <w:rPr>
                <w:rFonts w:ascii="Andalus" w:hAnsi="Andalus" w:cs="Andalus"/>
                <w:b/>
                <w:sz w:val="22"/>
                <w:szCs w:val="22"/>
              </w:rPr>
              <w:t xml:space="preserve">Variables </w:t>
            </w:r>
          </w:p>
        </w:tc>
      </w:tr>
      <w:tr w:rsidR="002C028A" w:rsidRPr="006266E2" w:rsidTr="009C3EA7">
        <w:trPr>
          <w:trHeight w:val="2077"/>
        </w:trPr>
        <w:tc>
          <w:tcPr>
            <w:tcW w:w="1951" w:type="dxa"/>
            <w:vMerge/>
            <w:shd w:val="clear" w:color="auto" w:fill="90F6F8"/>
          </w:tcPr>
          <w:p w:rsidR="002C028A" w:rsidRPr="006266E2" w:rsidRDefault="002C028A" w:rsidP="005A3C69">
            <w:pPr>
              <w:jc w:val="center"/>
              <w:rPr>
                <w:rFonts w:ascii="Andalus" w:hAnsi="Andalus" w:cs="Andalus"/>
                <w:bCs/>
                <w:sz w:val="28"/>
              </w:rPr>
            </w:pPr>
          </w:p>
        </w:tc>
        <w:tc>
          <w:tcPr>
            <w:tcW w:w="3686" w:type="dxa"/>
            <w:gridSpan w:val="2"/>
            <w:vMerge/>
          </w:tcPr>
          <w:p w:rsidR="002C028A" w:rsidRPr="006266E2" w:rsidRDefault="002C028A" w:rsidP="005A3C69">
            <w:pPr>
              <w:jc w:val="center"/>
              <w:rPr>
                <w:rFonts w:ascii="Andalus" w:hAnsi="Andalus" w:cs="Andalus"/>
                <w:bCs/>
                <w:sz w:val="28"/>
              </w:rPr>
            </w:pPr>
          </w:p>
        </w:tc>
        <w:tc>
          <w:tcPr>
            <w:tcW w:w="3543" w:type="dxa"/>
            <w:gridSpan w:val="2"/>
            <w:vMerge/>
          </w:tcPr>
          <w:p w:rsidR="002C028A" w:rsidRPr="006266E2" w:rsidRDefault="002C028A" w:rsidP="002C028A">
            <w:pPr>
              <w:rPr>
                <w:rFonts w:ascii="Andalus" w:hAnsi="Andalus" w:cs="Andalus"/>
                <w:bCs/>
                <w:sz w:val="28"/>
              </w:rPr>
            </w:pPr>
          </w:p>
        </w:tc>
        <w:tc>
          <w:tcPr>
            <w:tcW w:w="2410" w:type="dxa"/>
            <w:gridSpan w:val="2"/>
          </w:tcPr>
          <w:p w:rsidR="002C028A" w:rsidRPr="006B276C" w:rsidRDefault="009C3EA7" w:rsidP="00B542D5">
            <w:pPr>
              <w:pStyle w:val="Paragraphedeliste"/>
              <w:numPr>
                <w:ilvl w:val="0"/>
                <w:numId w:val="25"/>
              </w:numPr>
              <w:jc w:val="both"/>
              <w:rPr>
                <w:rFonts w:ascii="Andalus" w:hAnsi="Andalus" w:cs="Andalus"/>
                <w:bCs/>
                <w:sz w:val="22"/>
                <w:szCs w:val="22"/>
              </w:rPr>
            </w:pPr>
            <w:r>
              <w:rPr>
                <w:rFonts w:ascii="Andalus" w:hAnsi="Andalus" w:cs="Andalus"/>
                <w:bCs/>
                <w:sz w:val="22"/>
                <w:szCs w:val="22"/>
              </w:rPr>
              <w:t>Continuité du jeu par des passes précises</w:t>
            </w:r>
            <w:r w:rsidR="002C028A">
              <w:rPr>
                <w:rFonts w:ascii="Andalus" w:hAnsi="Andalus" w:cs="Andalus"/>
                <w:bCs/>
                <w:sz w:val="22"/>
                <w:szCs w:val="22"/>
              </w:rPr>
              <w:t>.</w:t>
            </w:r>
          </w:p>
        </w:tc>
        <w:tc>
          <w:tcPr>
            <w:tcW w:w="2126" w:type="dxa"/>
            <w:gridSpan w:val="2"/>
          </w:tcPr>
          <w:p w:rsidR="002C028A" w:rsidRPr="006B276C" w:rsidRDefault="009C3EA7" w:rsidP="009C3EA7">
            <w:pPr>
              <w:pStyle w:val="Paragraphedeliste"/>
              <w:numPr>
                <w:ilvl w:val="0"/>
                <w:numId w:val="23"/>
              </w:numPr>
              <w:jc w:val="both"/>
              <w:rPr>
                <w:rFonts w:ascii="Andalus" w:hAnsi="Andalus" w:cs="Andalus"/>
                <w:bCs/>
                <w:sz w:val="22"/>
                <w:szCs w:val="22"/>
              </w:rPr>
            </w:pPr>
            <w:r>
              <w:rPr>
                <w:rFonts w:ascii="Andalus" w:hAnsi="Andalus" w:cs="Andalus"/>
                <w:bCs/>
                <w:sz w:val="22"/>
                <w:szCs w:val="22"/>
              </w:rPr>
              <w:t xml:space="preserve">Réussir </w:t>
            </w:r>
            <w:r w:rsidR="002C028A">
              <w:rPr>
                <w:rFonts w:ascii="Andalus" w:hAnsi="Andalus" w:cs="Andalus"/>
                <w:bCs/>
                <w:sz w:val="22"/>
                <w:szCs w:val="22"/>
              </w:rPr>
              <w:t>des pa</w:t>
            </w:r>
            <w:r>
              <w:rPr>
                <w:rFonts w:ascii="Andalus" w:hAnsi="Andalus" w:cs="Andalus"/>
                <w:bCs/>
                <w:sz w:val="22"/>
                <w:szCs w:val="22"/>
              </w:rPr>
              <w:t>sses pour plus de 50% de l’effectif</w:t>
            </w:r>
            <w:r w:rsidR="002C028A" w:rsidRPr="006B276C">
              <w:rPr>
                <w:rFonts w:ascii="Andalus" w:hAnsi="Andalus" w:cs="Andalus"/>
                <w:bCs/>
                <w:sz w:val="22"/>
                <w:szCs w:val="22"/>
              </w:rPr>
              <w:t>.</w:t>
            </w:r>
          </w:p>
        </w:tc>
        <w:tc>
          <w:tcPr>
            <w:tcW w:w="2268" w:type="dxa"/>
          </w:tcPr>
          <w:p w:rsidR="002C028A" w:rsidRPr="005A3C69" w:rsidRDefault="002C028A" w:rsidP="005A3C69">
            <w:pPr>
              <w:jc w:val="center"/>
              <w:rPr>
                <w:rFonts w:ascii="Andalus" w:hAnsi="Andalus" w:cs="Andalus"/>
                <w:bCs/>
                <w:sz w:val="22"/>
                <w:szCs w:val="22"/>
              </w:rPr>
            </w:pP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
                <w:sz w:val="26"/>
                <w:szCs w:val="26"/>
              </w:rPr>
            </w:pPr>
            <w:r w:rsidRPr="006266E2">
              <w:rPr>
                <w:rFonts w:ascii="Andalus" w:hAnsi="Andalus" w:cs="Andalus"/>
                <w:b/>
                <w:sz w:val="26"/>
                <w:szCs w:val="26"/>
              </w:rPr>
              <w:t>Finale</w:t>
            </w:r>
          </w:p>
          <w:p w:rsidR="005A3C69" w:rsidRPr="006266E2" w:rsidRDefault="005A3C69" w:rsidP="005A3C69">
            <w:pPr>
              <w:jc w:val="center"/>
              <w:rPr>
                <w:rFonts w:ascii="Andalus" w:hAnsi="Andalus" w:cs="Andalus"/>
                <w:bCs/>
                <w:sz w:val="28"/>
              </w:rPr>
            </w:pPr>
            <w:r w:rsidRPr="006266E2">
              <w:rPr>
                <w:rFonts w:ascii="Andalus" w:hAnsi="Andalus" w:cs="Andalus"/>
                <w:bCs/>
                <w:sz w:val="26"/>
                <w:szCs w:val="26"/>
              </w:rPr>
              <w:t>5’</w:t>
            </w:r>
          </w:p>
        </w:tc>
        <w:tc>
          <w:tcPr>
            <w:tcW w:w="14033" w:type="dxa"/>
            <w:gridSpan w:val="9"/>
          </w:tcPr>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Retour au calme.</w:t>
            </w:r>
          </w:p>
          <w:p w:rsidR="005A3C69" w:rsidRPr="006266E2" w:rsidRDefault="005A3C69" w:rsidP="005A3C69">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5A3C69" w:rsidRPr="006266E2" w:rsidTr="00750DDD">
        <w:trPr>
          <w:trHeight w:val="180"/>
        </w:trPr>
        <w:tc>
          <w:tcPr>
            <w:tcW w:w="1951" w:type="dxa"/>
            <w:shd w:val="clear" w:color="auto" w:fill="90F6F8"/>
          </w:tcPr>
          <w:p w:rsidR="005A3C69" w:rsidRPr="006266E2" w:rsidRDefault="005A3C69" w:rsidP="005A3C69">
            <w:pPr>
              <w:jc w:val="center"/>
              <w:rPr>
                <w:rFonts w:ascii="Andalus" w:hAnsi="Andalus" w:cs="Andalus"/>
                <w:bCs/>
                <w:sz w:val="26"/>
                <w:szCs w:val="26"/>
              </w:rPr>
            </w:pPr>
            <w:r w:rsidRPr="006266E2">
              <w:rPr>
                <w:rFonts w:ascii="Andalus" w:hAnsi="Andalus" w:cs="Andalus"/>
                <w:b/>
                <w:sz w:val="26"/>
                <w:szCs w:val="26"/>
              </w:rPr>
              <w:t>Evaluation</w:t>
            </w:r>
          </w:p>
        </w:tc>
        <w:tc>
          <w:tcPr>
            <w:tcW w:w="14033" w:type="dxa"/>
            <w:gridSpan w:val="9"/>
          </w:tcPr>
          <w:p w:rsidR="005A3C69" w:rsidRPr="006266E2" w:rsidRDefault="005A3C69" w:rsidP="005A3C69">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2"/>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D65" w:rsidRDefault="00363D65" w:rsidP="00940D98">
      <w:r>
        <w:separator/>
      </w:r>
    </w:p>
  </w:endnote>
  <w:endnote w:type="continuationSeparator" w:id="1">
    <w:p w:rsidR="00363D65" w:rsidRDefault="00363D65"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D65" w:rsidRDefault="00363D65" w:rsidP="00940D98">
      <w:r>
        <w:separator/>
      </w:r>
    </w:p>
  </w:footnote>
  <w:footnote w:type="continuationSeparator" w:id="1">
    <w:p w:rsidR="00363D65" w:rsidRDefault="00363D65"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D97D45"/>
    <w:multiLevelType w:val="hybridMultilevel"/>
    <w:tmpl w:val="171A9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7">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0">
    <w:nsid w:val="2E693108"/>
    <w:multiLevelType w:val="hybridMultilevel"/>
    <w:tmpl w:val="7810A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2">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3">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6">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20">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533E41"/>
    <w:multiLevelType w:val="hybridMultilevel"/>
    <w:tmpl w:val="E526A9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8">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7"/>
  </w:num>
  <w:num w:numId="2">
    <w:abstractNumId w:val="22"/>
  </w:num>
  <w:num w:numId="3">
    <w:abstractNumId w:val="1"/>
  </w:num>
  <w:num w:numId="4">
    <w:abstractNumId w:val="16"/>
  </w:num>
  <w:num w:numId="5">
    <w:abstractNumId w:val="20"/>
  </w:num>
  <w:num w:numId="6">
    <w:abstractNumId w:val="13"/>
  </w:num>
  <w:num w:numId="7">
    <w:abstractNumId w:val="8"/>
  </w:num>
  <w:num w:numId="8">
    <w:abstractNumId w:val="14"/>
  </w:num>
  <w:num w:numId="9">
    <w:abstractNumId w:val="21"/>
  </w:num>
  <w:num w:numId="10">
    <w:abstractNumId w:val="23"/>
  </w:num>
  <w:num w:numId="11">
    <w:abstractNumId w:val="3"/>
  </w:num>
  <w:num w:numId="12">
    <w:abstractNumId w:val="26"/>
  </w:num>
  <w:num w:numId="13">
    <w:abstractNumId w:val="2"/>
  </w:num>
  <w:num w:numId="14">
    <w:abstractNumId w:val="15"/>
  </w:num>
  <w:num w:numId="15">
    <w:abstractNumId w:val="27"/>
  </w:num>
  <w:num w:numId="16">
    <w:abstractNumId w:val="6"/>
  </w:num>
  <w:num w:numId="17">
    <w:abstractNumId w:val="18"/>
  </w:num>
  <w:num w:numId="18">
    <w:abstractNumId w:val="17"/>
  </w:num>
  <w:num w:numId="19">
    <w:abstractNumId w:val="19"/>
  </w:num>
  <w:num w:numId="20">
    <w:abstractNumId w:val="5"/>
  </w:num>
  <w:num w:numId="21">
    <w:abstractNumId w:val="25"/>
  </w:num>
  <w:num w:numId="22">
    <w:abstractNumId w:val="11"/>
  </w:num>
  <w:num w:numId="23">
    <w:abstractNumId w:val="28"/>
  </w:num>
  <w:num w:numId="24">
    <w:abstractNumId w:val="12"/>
  </w:num>
  <w:num w:numId="25">
    <w:abstractNumId w:val="9"/>
  </w:num>
  <w:num w:numId="26">
    <w:abstractNumId w:val="0"/>
  </w:num>
  <w:num w:numId="27">
    <w:abstractNumId w:val="4"/>
  </w:num>
  <w:num w:numId="28">
    <w:abstractNumId w:val="10"/>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footnotePr>
    <w:footnote w:id="0"/>
    <w:footnote w:id="1"/>
  </w:footnotePr>
  <w:endnotePr>
    <w:endnote w:id="0"/>
    <w:endnote w:id="1"/>
  </w:endnotePr>
  <w:compat/>
  <w:rsids>
    <w:rsidRoot w:val="0093142D"/>
    <w:rsid w:val="000057B5"/>
    <w:rsid w:val="0002260E"/>
    <w:rsid w:val="0002267B"/>
    <w:rsid w:val="00027AD6"/>
    <w:rsid w:val="0003719A"/>
    <w:rsid w:val="0003741B"/>
    <w:rsid w:val="00043639"/>
    <w:rsid w:val="00047C31"/>
    <w:rsid w:val="00052E5C"/>
    <w:rsid w:val="00067E0F"/>
    <w:rsid w:val="0007120A"/>
    <w:rsid w:val="00072FC5"/>
    <w:rsid w:val="000A4D86"/>
    <w:rsid w:val="000A6FE7"/>
    <w:rsid w:val="000C23F1"/>
    <w:rsid w:val="000C2653"/>
    <w:rsid w:val="000E28EC"/>
    <w:rsid w:val="000E6656"/>
    <w:rsid w:val="00104F99"/>
    <w:rsid w:val="00106C88"/>
    <w:rsid w:val="00107B21"/>
    <w:rsid w:val="00117F2C"/>
    <w:rsid w:val="001315E4"/>
    <w:rsid w:val="00147E62"/>
    <w:rsid w:val="00161065"/>
    <w:rsid w:val="00162B4E"/>
    <w:rsid w:val="00176390"/>
    <w:rsid w:val="00184181"/>
    <w:rsid w:val="00185428"/>
    <w:rsid w:val="00194020"/>
    <w:rsid w:val="00194EB5"/>
    <w:rsid w:val="001B1244"/>
    <w:rsid w:val="001C63F2"/>
    <w:rsid w:val="001D2217"/>
    <w:rsid w:val="001D6C77"/>
    <w:rsid w:val="001E14E8"/>
    <w:rsid w:val="001F479C"/>
    <w:rsid w:val="0021558B"/>
    <w:rsid w:val="0021662F"/>
    <w:rsid w:val="00234F8F"/>
    <w:rsid w:val="00261C2D"/>
    <w:rsid w:val="00266F03"/>
    <w:rsid w:val="00294092"/>
    <w:rsid w:val="002B4042"/>
    <w:rsid w:val="002C028A"/>
    <w:rsid w:val="002C0F93"/>
    <w:rsid w:val="002C49B9"/>
    <w:rsid w:val="002E2F62"/>
    <w:rsid w:val="002F069A"/>
    <w:rsid w:val="002F183C"/>
    <w:rsid w:val="002F376F"/>
    <w:rsid w:val="0031621E"/>
    <w:rsid w:val="00322DEE"/>
    <w:rsid w:val="00324882"/>
    <w:rsid w:val="00337859"/>
    <w:rsid w:val="00342263"/>
    <w:rsid w:val="00350CCD"/>
    <w:rsid w:val="00360608"/>
    <w:rsid w:val="00363D65"/>
    <w:rsid w:val="0036429F"/>
    <w:rsid w:val="00376661"/>
    <w:rsid w:val="003779E7"/>
    <w:rsid w:val="00380323"/>
    <w:rsid w:val="00390ACE"/>
    <w:rsid w:val="00392C4E"/>
    <w:rsid w:val="003955C0"/>
    <w:rsid w:val="003A426D"/>
    <w:rsid w:val="003C7834"/>
    <w:rsid w:val="003D2A60"/>
    <w:rsid w:val="003E6ACF"/>
    <w:rsid w:val="003E7D1D"/>
    <w:rsid w:val="0040638D"/>
    <w:rsid w:val="00433D61"/>
    <w:rsid w:val="00433FB5"/>
    <w:rsid w:val="00445C14"/>
    <w:rsid w:val="004563F4"/>
    <w:rsid w:val="004734A2"/>
    <w:rsid w:val="00474ED0"/>
    <w:rsid w:val="00476CA4"/>
    <w:rsid w:val="00484624"/>
    <w:rsid w:val="00493B27"/>
    <w:rsid w:val="00495F3E"/>
    <w:rsid w:val="00497A38"/>
    <w:rsid w:val="004A196C"/>
    <w:rsid w:val="004D5ABB"/>
    <w:rsid w:val="004E7BB9"/>
    <w:rsid w:val="004F1822"/>
    <w:rsid w:val="004F1CF8"/>
    <w:rsid w:val="004F6190"/>
    <w:rsid w:val="00505714"/>
    <w:rsid w:val="005324E4"/>
    <w:rsid w:val="00534983"/>
    <w:rsid w:val="0054413F"/>
    <w:rsid w:val="005532CE"/>
    <w:rsid w:val="005575EB"/>
    <w:rsid w:val="00562EE6"/>
    <w:rsid w:val="00565451"/>
    <w:rsid w:val="0056553D"/>
    <w:rsid w:val="00577524"/>
    <w:rsid w:val="00582AA4"/>
    <w:rsid w:val="005927AD"/>
    <w:rsid w:val="005A053E"/>
    <w:rsid w:val="005A2C03"/>
    <w:rsid w:val="005A3C69"/>
    <w:rsid w:val="005A7C6C"/>
    <w:rsid w:val="005A7D82"/>
    <w:rsid w:val="005B253C"/>
    <w:rsid w:val="005B5147"/>
    <w:rsid w:val="005C02FE"/>
    <w:rsid w:val="005C526D"/>
    <w:rsid w:val="005C543D"/>
    <w:rsid w:val="005D0397"/>
    <w:rsid w:val="005D528A"/>
    <w:rsid w:val="005D75D7"/>
    <w:rsid w:val="005F29AD"/>
    <w:rsid w:val="005F4EB1"/>
    <w:rsid w:val="005F6DEE"/>
    <w:rsid w:val="005F7135"/>
    <w:rsid w:val="006100CE"/>
    <w:rsid w:val="0062433B"/>
    <w:rsid w:val="00624CAB"/>
    <w:rsid w:val="006266E2"/>
    <w:rsid w:val="006349D0"/>
    <w:rsid w:val="006425F8"/>
    <w:rsid w:val="0065113E"/>
    <w:rsid w:val="006571AD"/>
    <w:rsid w:val="00682C6B"/>
    <w:rsid w:val="00683255"/>
    <w:rsid w:val="006971D3"/>
    <w:rsid w:val="006A0051"/>
    <w:rsid w:val="006B276C"/>
    <w:rsid w:val="00701270"/>
    <w:rsid w:val="00703EC4"/>
    <w:rsid w:val="0070462E"/>
    <w:rsid w:val="007051A4"/>
    <w:rsid w:val="007076AE"/>
    <w:rsid w:val="00730474"/>
    <w:rsid w:val="0073382C"/>
    <w:rsid w:val="00736F26"/>
    <w:rsid w:val="007453DA"/>
    <w:rsid w:val="00750DDD"/>
    <w:rsid w:val="00751B43"/>
    <w:rsid w:val="00757F92"/>
    <w:rsid w:val="00761425"/>
    <w:rsid w:val="00776757"/>
    <w:rsid w:val="00780A19"/>
    <w:rsid w:val="00782469"/>
    <w:rsid w:val="00794D48"/>
    <w:rsid w:val="007952F6"/>
    <w:rsid w:val="007966D7"/>
    <w:rsid w:val="007A551D"/>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5179B"/>
    <w:rsid w:val="00872B4F"/>
    <w:rsid w:val="00881901"/>
    <w:rsid w:val="00890C29"/>
    <w:rsid w:val="00891680"/>
    <w:rsid w:val="00897719"/>
    <w:rsid w:val="008A2721"/>
    <w:rsid w:val="008A50E0"/>
    <w:rsid w:val="008A7A8A"/>
    <w:rsid w:val="008B5C7C"/>
    <w:rsid w:val="008C1D1A"/>
    <w:rsid w:val="008C2566"/>
    <w:rsid w:val="008D7C94"/>
    <w:rsid w:val="008E4987"/>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48CF"/>
    <w:rsid w:val="009C1981"/>
    <w:rsid w:val="009C3EA7"/>
    <w:rsid w:val="009C5BFB"/>
    <w:rsid w:val="009D5B65"/>
    <w:rsid w:val="009F1122"/>
    <w:rsid w:val="00A04694"/>
    <w:rsid w:val="00A04A90"/>
    <w:rsid w:val="00A05E06"/>
    <w:rsid w:val="00A06E75"/>
    <w:rsid w:val="00A34B22"/>
    <w:rsid w:val="00A45B84"/>
    <w:rsid w:val="00A57649"/>
    <w:rsid w:val="00A57692"/>
    <w:rsid w:val="00A66F53"/>
    <w:rsid w:val="00A71A62"/>
    <w:rsid w:val="00A87C0A"/>
    <w:rsid w:val="00A91EFB"/>
    <w:rsid w:val="00AA38E9"/>
    <w:rsid w:val="00AB2B4F"/>
    <w:rsid w:val="00AB3876"/>
    <w:rsid w:val="00AB43A4"/>
    <w:rsid w:val="00AC22CF"/>
    <w:rsid w:val="00AC569D"/>
    <w:rsid w:val="00AD3610"/>
    <w:rsid w:val="00AD5637"/>
    <w:rsid w:val="00AD6CFE"/>
    <w:rsid w:val="00AF6C15"/>
    <w:rsid w:val="00B01E52"/>
    <w:rsid w:val="00B02505"/>
    <w:rsid w:val="00B03521"/>
    <w:rsid w:val="00B0604E"/>
    <w:rsid w:val="00B12BAE"/>
    <w:rsid w:val="00B16B91"/>
    <w:rsid w:val="00B34D83"/>
    <w:rsid w:val="00B46B4E"/>
    <w:rsid w:val="00B542D5"/>
    <w:rsid w:val="00B56F21"/>
    <w:rsid w:val="00B667B6"/>
    <w:rsid w:val="00B73BAF"/>
    <w:rsid w:val="00B76F2A"/>
    <w:rsid w:val="00B95938"/>
    <w:rsid w:val="00BA20A8"/>
    <w:rsid w:val="00BA4388"/>
    <w:rsid w:val="00BD3DDA"/>
    <w:rsid w:val="00BE0142"/>
    <w:rsid w:val="00BE0A9C"/>
    <w:rsid w:val="00BE3581"/>
    <w:rsid w:val="00BF7225"/>
    <w:rsid w:val="00C0749E"/>
    <w:rsid w:val="00C113C4"/>
    <w:rsid w:val="00C11866"/>
    <w:rsid w:val="00C32560"/>
    <w:rsid w:val="00C34A34"/>
    <w:rsid w:val="00C40944"/>
    <w:rsid w:val="00C5432E"/>
    <w:rsid w:val="00C703B1"/>
    <w:rsid w:val="00C728F1"/>
    <w:rsid w:val="00C9442F"/>
    <w:rsid w:val="00C966F8"/>
    <w:rsid w:val="00CB70B3"/>
    <w:rsid w:val="00CB7B3F"/>
    <w:rsid w:val="00CC6E9B"/>
    <w:rsid w:val="00CD0F8A"/>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3746F"/>
    <w:rsid w:val="00D4120F"/>
    <w:rsid w:val="00D67420"/>
    <w:rsid w:val="00D7748E"/>
    <w:rsid w:val="00D84D0D"/>
    <w:rsid w:val="00D914E8"/>
    <w:rsid w:val="00D937B1"/>
    <w:rsid w:val="00D93BD7"/>
    <w:rsid w:val="00DA3178"/>
    <w:rsid w:val="00DB584F"/>
    <w:rsid w:val="00DC0384"/>
    <w:rsid w:val="00DE1F89"/>
    <w:rsid w:val="00DE38D7"/>
    <w:rsid w:val="00DE6DEC"/>
    <w:rsid w:val="00DE7339"/>
    <w:rsid w:val="00DF6F1C"/>
    <w:rsid w:val="00E05FA9"/>
    <w:rsid w:val="00E11AD3"/>
    <w:rsid w:val="00E11FE4"/>
    <w:rsid w:val="00E1309A"/>
    <w:rsid w:val="00E26231"/>
    <w:rsid w:val="00E26A53"/>
    <w:rsid w:val="00E37168"/>
    <w:rsid w:val="00E437B2"/>
    <w:rsid w:val="00E478F2"/>
    <w:rsid w:val="00E52033"/>
    <w:rsid w:val="00E758E4"/>
    <w:rsid w:val="00E85CEB"/>
    <w:rsid w:val="00E87A01"/>
    <w:rsid w:val="00E944C7"/>
    <w:rsid w:val="00E9455F"/>
    <w:rsid w:val="00E957BD"/>
    <w:rsid w:val="00EA3FBF"/>
    <w:rsid w:val="00EB3241"/>
    <w:rsid w:val="00EC352A"/>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969B9"/>
    <w:rsid w:val="00FE0BFA"/>
    <w:rsid w:val="00FE3AC2"/>
    <w:rsid w:val="00FE3C65"/>
    <w:rsid w:val="00FE5E15"/>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80</TotalTime>
  <Pages>1</Pages>
  <Words>304</Words>
  <Characters>1678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EL AISSAOUY Mohammed</cp:lastModifiedBy>
  <cp:revision>14</cp:revision>
  <cp:lastPrinted>2013-02-12T20:18:00Z</cp:lastPrinted>
  <dcterms:created xsi:type="dcterms:W3CDTF">2014-01-27T14:27:00Z</dcterms:created>
  <dcterms:modified xsi:type="dcterms:W3CDTF">2014-02-26T06:18:00Z</dcterms:modified>
</cp:coreProperties>
</file>